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EE9FD8" w14:textId="1B1FB16D" w:rsidR="003F7F78" w:rsidRPr="00874E1B" w:rsidRDefault="001E1DE1" w:rsidP="00874E1B">
      <w:pPr>
        <w:jc w:val="center"/>
        <w:rPr>
          <w:rFonts w:ascii="Times New Roman" w:hAnsi="Times New Roman" w:cs="Times New Roman"/>
          <w:b/>
          <w:bCs/>
          <w:lang w:val="es-ES"/>
        </w:rPr>
      </w:pPr>
      <w:r>
        <w:rPr>
          <w:rFonts w:ascii="Times New Roman" w:hAnsi="Times New Roman" w:cs="Times New Roman"/>
          <w:b/>
          <w:bCs/>
          <w:lang w:val="es-ES"/>
        </w:rPr>
        <w:t>ACT-</w:t>
      </w:r>
      <w:r w:rsidR="00874E1B" w:rsidRPr="00874E1B">
        <w:rPr>
          <w:rFonts w:ascii="Times New Roman" w:hAnsi="Times New Roman" w:cs="Times New Roman"/>
          <w:b/>
          <w:bCs/>
          <w:lang w:val="es-ES"/>
        </w:rPr>
        <w:t>LEY DE FINANCIAMIENTO TEMAS DE IMPORTANCIA PARA EL SECTOR MINERO NERGETICO Y SUGERENCIAS BULLETS PARA EL SEÑOR MINISTRO</w:t>
      </w:r>
    </w:p>
    <w:p w14:paraId="06B2AC75" w14:textId="77777777" w:rsidR="00874E1B" w:rsidRPr="00874E1B" w:rsidRDefault="00874E1B">
      <w:pPr>
        <w:rPr>
          <w:rFonts w:ascii="Times New Roman" w:hAnsi="Times New Roman" w:cs="Times New Roman"/>
          <w:lang w:val="es-ES"/>
        </w:rPr>
      </w:pPr>
    </w:p>
    <w:p w14:paraId="2799E8C2" w14:textId="1A3E201B" w:rsidR="001E2DA8" w:rsidRDefault="001E2DA8" w:rsidP="001E2DA8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  <w:lang w:val="es-ES"/>
        </w:rPr>
      </w:pPr>
      <w:r w:rsidRPr="00874E1B">
        <w:rPr>
          <w:rFonts w:ascii="Times New Roman" w:hAnsi="Times New Roman" w:cs="Times New Roman"/>
          <w:b/>
          <w:bCs/>
          <w:lang w:val="es-ES"/>
        </w:rPr>
        <w:t>Biocombustibles</w:t>
      </w:r>
    </w:p>
    <w:p w14:paraId="6F345F8C" w14:textId="77777777" w:rsidR="001F3BCC" w:rsidRPr="00C43F4B" w:rsidRDefault="001F3BCC" w:rsidP="001F3BCC">
      <w:pPr>
        <w:pStyle w:val="Prrafodelista"/>
        <w:rPr>
          <w:rFonts w:ascii="Times New Roman" w:hAnsi="Times New Roman" w:cs="Times New Roman"/>
          <w:b/>
          <w:bCs/>
          <w:lang w:val="es-ES"/>
        </w:rPr>
      </w:pPr>
    </w:p>
    <w:p w14:paraId="32506C74" w14:textId="68517152" w:rsidR="001E2DA8" w:rsidRPr="00874E1B" w:rsidRDefault="001E2DA8" w:rsidP="001E2DA8">
      <w:pPr>
        <w:rPr>
          <w:rFonts w:ascii="Times New Roman" w:hAnsi="Times New Roman" w:cs="Times New Roman"/>
          <w:b/>
          <w:bCs/>
          <w:lang w:val="es-ES"/>
        </w:rPr>
      </w:pPr>
      <w:r w:rsidRPr="00874E1B">
        <w:rPr>
          <w:rFonts w:ascii="Times New Roman" w:hAnsi="Times New Roman" w:cs="Times New Roman"/>
          <w:b/>
          <w:bCs/>
          <w:lang w:val="es-ES"/>
        </w:rPr>
        <w:t>¿Qué propone la ley de financiamiento?</w:t>
      </w:r>
    </w:p>
    <w:p w14:paraId="6C267461" w14:textId="77777777" w:rsidR="001E2DA8" w:rsidRPr="00874E1B" w:rsidRDefault="001E2DA8" w:rsidP="001E2DA8">
      <w:pPr>
        <w:rPr>
          <w:rFonts w:ascii="Times New Roman" w:hAnsi="Times New Roman" w:cs="Times New Roman"/>
          <w:lang w:val="es-ES"/>
        </w:rPr>
      </w:pPr>
    </w:p>
    <w:p w14:paraId="6D496C22" w14:textId="32B9A7D4" w:rsidR="001E2DA8" w:rsidRPr="00874E1B" w:rsidRDefault="001E2DA8" w:rsidP="001E2DA8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874E1B">
        <w:rPr>
          <w:rFonts w:ascii="Times New Roman" w:hAnsi="Times New Roman" w:cs="Times New Roman"/>
          <w:b/>
          <w:bCs/>
        </w:rPr>
        <w:t>Qué cambia en IVA:</w:t>
      </w:r>
      <w:r w:rsidRPr="00874E1B">
        <w:rPr>
          <w:rFonts w:ascii="Times New Roman" w:hAnsi="Times New Roman" w:cs="Times New Roman"/>
        </w:rPr>
        <w:t xml:space="preserve"> desde 1/jul/2026 el alcohol carburante para mezcla con gasolina pasa a tarifa general; desde 1/ee/2027 el biocombustible diésel para mezcla con ACPM también queda a tarifa general. Esto desmonta el tratamiento preferencial actual.    </w:t>
      </w:r>
    </w:p>
    <w:p w14:paraId="34C634A3" w14:textId="77777777" w:rsidR="001E2DA8" w:rsidRPr="006E2130" w:rsidRDefault="001E2DA8" w:rsidP="001E2DA8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6E2130">
        <w:rPr>
          <w:rFonts w:ascii="Times New Roman" w:hAnsi="Times New Roman" w:cs="Times New Roman"/>
          <w:b/>
          <w:bCs/>
        </w:rPr>
        <w:t>Carbono:</w:t>
      </w:r>
      <w:r w:rsidRPr="006E2130">
        <w:rPr>
          <w:rFonts w:ascii="Times New Roman" w:hAnsi="Times New Roman" w:cs="Times New Roman"/>
        </w:rPr>
        <w:t xml:space="preserve"> se mantiene exento del impuesto al carbono el alcohol carburante y el biocombustible diésel (origen vegetal/animal o a partir de residuos) cuando se usan para mezcla.  </w:t>
      </w:r>
    </w:p>
    <w:p w14:paraId="32DE146D" w14:textId="77777777" w:rsidR="001E2DA8" w:rsidRPr="006E2130" w:rsidRDefault="001E2DA8" w:rsidP="001E2DA8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6E2130">
        <w:rPr>
          <w:rFonts w:ascii="Times New Roman" w:hAnsi="Times New Roman" w:cs="Times New Roman"/>
          <w:b/>
          <w:bCs/>
        </w:rPr>
        <w:t>Base gravable IVA en estación:</w:t>
      </w:r>
      <w:r w:rsidRPr="006E2130">
        <w:rPr>
          <w:rFonts w:ascii="Times New Roman" w:hAnsi="Times New Roman" w:cs="Times New Roman"/>
        </w:rPr>
        <w:t xml:space="preserve"> se precisa que la base incluye el ingreso al productor del combustible y del alcohol carburante/biocombustible en la proporción autorizada por MME, más márgenes mayorista y minorista (sin transporte).  </w:t>
      </w:r>
    </w:p>
    <w:p w14:paraId="56D24F7C" w14:textId="77777777" w:rsidR="001E2DA8" w:rsidRPr="00874E1B" w:rsidRDefault="001E2DA8" w:rsidP="001E2DA8">
      <w:pPr>
        <w:rPr>
          <w:rFonts w:ascii="Times New Roman" w:hAnsi="Times New Roman" w:cs="Times New Roman"/>
          <w:lang w:val="es-ES"/>
        </w:rPr>
      </w:pPr>
    </w:p>
    <w:p w14:paraId="410120AC" w14:textId="07BF150D" w:rsidR="001E2DA8" w:rsidRPr="00874E1B" w:rsidRDefault="001E2DA8" w:rsidP="001E2DA8">
      <w:pPr>
        <w:rPr>
          <w:rFonts w:ascii="Times New Roman" w:hAnsi="Times New Roman" w:cs="Times New Roman"/>
          <w:b/>
          <w:bCs/>
          <w:lang w:val="es-ES"/>
        </w:rPr>
      </w:pPr>
      <w:r w:rsidRPr="00874E1B">
        <w:rPr>
          <w:rFonts w:ascii="Times New Roman" w:hAnsi="Times New Roman" w:cs="Times New Roman"/>
          <w:b/>
          <w:bCs/>
          <w:lang w:val="es-ES"/>
        </w:rPr>
        <w:t xml:space="preserve">Sugerencia Bullets para el señor </w:t>
      </w:r>
      <w:proofErr w:type="gramStart"/>
      <w:r w:rsidRPr="00874E1B">
        <w:rPr>
          <w:rFonts w:ascii="Times New Roman" w:hAnsi="Times New Roman" w:cs="Times New Roman"/>
          <w:b/>
          <w:bCs/>
          <w:lang w:val="es-ES"/>
        </w:rPr>
        <w:t>Ministro</w:t>
      </w:r>
      <w:proofErr w:type="gramEnd"/>
    </w:p>
    <w:p w14:paraId="70FD4564" w14:textId="77777777" w:rsidR="001E2DA8" w:rsidRPr="00874E1B" w:rsidRDefault="001E2DA8" w:rsidP="001E2DA8">
      <w:pPr>
        <w:rPr>
          <w:rFonts w:ascii="Times New Roman" w:hAnsi="Times New Roman" w:cs="Times New Roman"/>
          <w:b/>
          <w:bCs/>
          <w:lang w:val="es-ES"/>
        </w:rPr>
      </w:pPr>
    </w:p>
    <w:p w14:paraId="0D6DE3A2" w14:textId="07EF670D" w:rsidR="001E2DA8" w:rsidRPr="00874E1B" w:rsidRDefault="001E2DA8" w:rsidP="001E2DA8">
      <w:pPr>
        <w:pStyle w:val="Prrafodelista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lang w:val="es-ES"/>
        </w:rPr>
      </w:pPr>
      <w:r w:rsidRPr="006E2130">
        <w:rPr>
          <w:rFonts w:ascii="Times New Roman" w:hAnsi="Times New Roman" w:cs="Times New Roman"/>
          <w:b/>
          <w:bCs/>
        </w:rPr>
        <w:t>Este proyecto busca dar señales de transición ordenada.</w:t>
      </w:r>
      <w:r w:rsidRPr="006E2130">
        <w:rPr>
          <w:rFonts w:ascii="Times New Roman" w:hAnsi="Times New Roman" w:cs="Times New Roman"/>
        </w:rPr>
        <w:t xml:space="preserve"> En materia de biocombustibles, no se trata de desmontar una política que ha sido exitosa, sino de llevarla a su siguiente fase de madurez.</w:t>
      </w:r>
    </w:p>
    <w:p w14:paraId="124A9D44" w14:textId="7700D91E" w:rsidR="001E2DA8" w:rsidRPr="00874E1B" w:rsidRDefault="001E2DA8" w:rsidP="001E2DA8">
      <w:pPr>
        <w:pStyle w:val="Prrafodelista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lang w:val="es-ES"/>
        </w:rPr>
      </w:pPr>
      <w:r w:rsidRPr="006E2130">
        <w:rPr>
          <w:rFonts w:ascii="Times New Roman" w:hAnsi="Times New Roman" w:cs="Times New Roman"/>
          <w:b/>
          <w:bCs/>
        </w:rPr>
        <w:t>La hoja de ruta es clara:</w:t>
      </w:r>
      <w:r w:rsidRPr="006E2130">
        <w:rPr>
          <w:rFonts w:ascii="Times New Roman" w:hAnsi="Times New Roman" w:cs="Times New Roman"/>
        </w:rPr>
        <w:t xml:space="preserve"> mantener el reconocimiento ambiental de los biocombustibles, asegurar su exención frente al carbono y acompañar al productor nacional en una senda de ajuste gradual que preserve empleo y competitividad.</w:t>
      </w:r>
    </w:p>
    <w:p w14:paraId="1193A521" w14:textId="5F445378" w:rsidR="001E2DA8" w:rsidRPr="00874E1B" w:rsidRDefault="001E2DA8" w:rsidP="001E2DA8">
      <w:pPr>
        <w:pStyle w:val="Prrafodelista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lang w:val="es-ES"/>
        </w:rPr>
      </w:pPr>
      <w:r w:rsidRPr="00874E1B">
        <w:rPr>
          <w:rFonts w:ascii="Times New Roman" w:hAnsi="Times New Roman" w:cs="Times New Roman"/>
        </w:rPr>
        <w:t>Transición ordenada y gradual en materia tributaria.</w:t>
      </w:r>
    </w:p>
    <w:p w14:paraId="1C2CB0E9" w14:textId="5BBB7559" w:rsidR="001E2DA8" w:rsidRPr="00874E1B" w:rsidRDefault="001E2DA8" w:rsidP="001E2DA8">
      <w:pPr>
        <w:pStyle w:val="Prrafodelista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lang w:val="es-ES"/>
        </w:rPr>
      </w:pPr>
      <w:r w:rsidRPr="00874E1B">
        <w:rPr>
          <w:rFonts w:ascii="Times New Roman" w:hAnsi="Times New Roman" w:cs="Times New Roman"/>
        </w:rPr>
        <w:t>Preservar los incentivos ambientales y la exención frente al carbono.</w:t>
      </w:r>
    </w:p>
    <w:p w14:paraId="4588A760" w14:textId="77777777" w:rsidR="001E2DA8" w:rsidRPr="00874E1B" w:rsidRDefault="001E2DA8" w:rsidP="001E2DA8">
      <w:pPr>
        <w:ind w:left="360"/>
        <w:jc w:val="both"/>
        <w:rPr>
          <w:rFonts w:ascii="Times New Roman" w:hAnsi="Times New Roman" w:cs="Times New Roman"/>
          <w:b/>
          <w:bCs/>
          <w:lang w:val="es-ES"/>
        </w:rPr>
      </w:pPr>
    </w:p>
    <w:p w14:paraId="71DFF435" w14:textId="5497CE2B" w:rsidR="001E2DA8" w:rsidRPr="00874E1B" w:rsidRDefault="001E2DA8" w:rsidP="001E2DA8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lang w:val="es-ES"/>
        </w:rPr>
      </w:pPr>
      <w:r w:rsidRPr="00874E1B">
        <w:rPr>
          <w:rFonts w:ascii="Times New Roman" w:hAnsi="Times New Roman" w:cs="Times New Roman"/>
          <w:b/>
          <w:bCs/>
          <w:lang w:val="es-ES"/>
        </w:rPr>
        <w:t>Energías Renovables y eficiencia</w:t>
      </w:r>
    </w:p>
    <w:p w14:paraId="7FD40EAA" w14:textId="77777777" w:rsidR="001E2DA8" w:rsidRPr="00874E1B" w:rsidRDefault="001E2DA8" w:rsidP="001E2DA8">
      <w:pPr>
        <w:jc w:val="both"/>
        <w:rPr>
          <w:rFonts w:ascii="Times New Roman" w:hAnsi="Times New Roman" w:cs="Times New Roman"/>
          <w:b/>
          <w:bCs/>
          <w:lang w:val="es-ES"/>
        </w:rPr>
      </w:pPr>
    </w:p>
    <w:p w14:paraId="376FF869" w14:textId="77777777" w:rsidR="001E2DA8" w:rsidRPr="00874E1B" w:rsidRDefault="001E2DA8" w:rsidP="001E2DA8">
      <w:pPr>
        <w:rPr>
          <w:rFonts w:ascii="Times New Roman" w:hAnsi="Times New Roman" w:cs="Times New Roman"/>
          <w:b/>
          <w:bCs/>
          <w:lang w:val="es-ES"/>
        </w:rPr>
      </w:pPr>
      <w:r w:rsidRPr="00874E1B">
        <w:rPr>
          <w:rFonts w:ascii="Times New Roman" w:hAnsi="Times New Roman" w:cs="Times New Roman"/>
          <w:b/>
          <w:bCs/>
          <w:lang w:val="es-ES"/>
        </w:rPr>
        <w:t>¿Qué propone la ley de financiamiento?</w:t>
      </w:r>
    </w:p>
    <w:p w14:paraId="7708CC10" w14:textId="77777777" w:rsidR="001E2DA8" w:rsidRPr="00874E1B" w:rsidRDefault="001E2DA8" w:rsidP="001E2DA8">
      <w:pPr>
        <w:jc w:val="both"/>
        <w:rPr>
          <w:rFonts w:ascii="Times New Roman" w:hAnsi="Times New Roman" w:cs="Times New Roman"/>
          <w:b/>
          <w:bCs/>
          <w:lang w:val="es-ES"/>
        </w:rPr>
      </w:pPr>
    </w:p>
    <w:p w14:paraId="784539CB" w14:textId="54485012" w:rsidR="001E2DA8" w:rsidRPr="00874E1B" w:rsidRDefault="001E2DA8" w:rsidP="001E2DA8">
      <w:pPr>
        <w:pStyle w:val="Prrafodelista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874E1B">
        <w:rPr>
          <w:rFonts w:ascii="Times New Roman" w:hAnsi="Times New Roman" w:cs="Times New Roman"/>
          <w:b/>
          <w:bCs/>
        </w:rPr>
        <w:t>Nuevo instrumento:</w:t>
      </w:r>
      <w:r w:rsidRPr="00874E1B">
        <w:rPr>
          <w:rFonts w:ascii="Times New Roman" w:hAnsi="Times New Roman" w:cs="Times New Roman"/>
        </w:rPr>
        <w:t xml:space="preserve"> se crean los Bonos de Transición Energética: el titular puede deducir 50% de la inversión certificada por UPME, redimible hasta por 15 años, y transferible por endoso (con control del saldo vigente).      </w:t>
      </w:r>
    </w:p>
    <w:p w14:paraId="16C19FE1" w14:textId="5821B0C3" w:rsidR="001E2DA8" w:rsidRPr="00874E1B" w:rsidRDefault="001E2DA8" w:rsidP="001E2DA8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6E2130">
        <w:rPr>
          <w:rFonts w:ascii="Times New Roman" w:hAnsi="Times New Roman" w:cs="Times New Roman"/>
          <w:b/>
          <w:bCs/>
        </w:rPr>
        <w:t>IVA:</w:t>
      </w:r>
      <w:r w:rsidRPr="006E2130">
        <w:rPr>
          <w:rFonts w:ascii="Times New Roman" w:hAnsi="Times New Roman" w:cs="Times New Roman"/>
        </w:rPr>
        <w:t xml:space="preserve"> se mantiene la exención de IVA para equipos/servicios destinados a proyectos FNCE y medición inteligente cuando estén en PROURE y cuenten con certificación UPME.  </w:t>
      </w:r>
    </w:p>
    <w:p w14:paraId="4F5F6F9C" w14:textId="77777777" w:rsidR="001E2DA8" w:rsidRPr="00874E1B" w:rsidRDefault="001E2DA8" w:rsidP="001E2DA8">
      <w:pPr>
        <w:rPr>
          <w:rFonts w:ascii="Times New Roman" w:hAnsi="Times New Roman" w:cs="Times New Roman"/>
          <w:b/>
          <w:bCs/>
          <w:lang w:val="es-ES"/>
        </w:rPr>
      </w:pPr>
    </w:p>
    <w:p w14:paraId="248610F0" w14:textId="5123DFD8" w:rsidR="001E2DA8" w:rsidRPr="00874E1B" w:rsidRDefault="001E2DA8" w:rsidP="001E2DA8">
      <w:pPr>
        <w:rPr>
          <w:rFonts w:ascii="Times New Roman" w:hAnsi="Times New Roman" w:cs="Times New Roman"/>
          <w:b/>
          <w:bCs/>
          <w:lang w:val="es-ES"/>
        </w:rPr>
      </w:pPr>
      <w:r w:rsidRPr="00874E1B">
        <w:rPr>
          <w:rFonts w:ascii="Times New Roman" w:hAnsi="Times New Roman" w:cs="Times New Roman"/>
          <w:b/>
          <w:bCs/>
          <w:lang w:val="es-ES"/>
        </w:rPr>
        <w:t>Sugerencia Bullets para el señor Ministro:</w:t>
      </w:r>
    </w:p>
    <w:p w14:paraId="637047F8" w14:textId="77777777" w:rsidR="001E2DA8" w:rsidRPr="00874E1B" w:rsidRDefault="001E2DA8" w:rsidP="001E2DA8">
      <w:pPr>
        <w:jc w:val="both"/>
        <w:rPr>
          <w:rFonts w:ascii="Times New Roman" w:hAnsi="Times New Roman" w:cs="Times New Roman"/>
        </w:rPr>
      </w:pPr>
    </w:p>
    <w:p w14:paraId="5BE17BA8" w14:textId="0796622E" w:rsidR="001E2DA8" w:rsidRPr="00874E1B" w:rsidRDefault="001E2DA8" w:rsidP="001E2DA8">
      <w:pPr>
        <w:pStyle w:val="Prrafodelista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6E2130">
        <w:rPr>
          <w:rFonts w:ascii="Times New Roman" w:hAnsi="Times New Roman" w:cs="Times New Roman"/>
          <w:b/>
          <w:bCs/>
        </w:rPr>
        <w:t>El país necesita inversión, pero inversión con sentido.</w:t>
      </w:r>
      <w:r w:rsidRPr="006E2130">
        <w:rPr>
          <w:rFonts w:ascii="Times New Roman" w:hAnsi="Times New Roman" w:cs="Times New Roman"/>
        </w:rPr>
        <w:t xml:space="preserve"> Por eso, en esta Ley de Financiamiento incluimos los Bonos de Transición Energética: un mecanismo que </w:t>
      </w:r>
      <w:r w:rsidRPr="006E2130">
        <w:rPr>
          <w:rFonts w:ascii="Times New Roman" w:hAnsi="Times New Roman" w:cs="Times New Roman"/>
        </w:rPr>
        <w:lastRenderedPageBreak/>
        <w:t>reconoce al empresario y al inversionista que apuestan por la transición, que generan energía limpia y reducen emisiones</w:t>
      </w:r>
    </w:p>
    <w:p w14:paraId="51850CB4" w14:textId="693CF730" w:rsidR="001E2DA8" w:rsidRPr="00874E1B" w:rsidRDefault="001E2DA8" w:rsidP="001E2DA8">
      <w:pPr>
        <w:pStyle w:val="Prrafodelista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6E2130">
        <w:rPr>
          <w:rFonts w:ascii="Times New Roman" w:hAnsi="Times New Roman" w:cs="Times New Roman"/>
          <w:b/>
          <w:bCs/>
        </w:rPr>
        <w:t>La transición no puede detenerse;</w:t>
      </w:r>
      <w:r w:rsidRPr="006E2130">
        <w:rPr>
          <w:rFonts w:ascii="Times New Roman" w:hAnsi="Times New Roman" w:cs="Times New Roman"/>
        </w:rPr>
        <w:t xml:space="preserve"> el mensaje es claro: seguimos impulsando las energías renovables, ampliando la base de inversión y fortaleciendo el papel de la UPME como garante de la trazabilidad técnica de estos proyectos</w:t>
      </w:r>
    </w:p>
    <w:p w14:paraId="0EC03A74" w14:textId="77777777" w:rsidR="001E2DA8" w:rsidRPr="006E2130" w:rsidRDefault="001E2DA8" w:rsidP="001E2DA8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6E2130">
        <w:rPr>
          <w:rFonts w:ascii="Times New Roman" w:hAnsi="Times New Roman" w:cs="Times New Roman"/>
          <w:b/>
          <w:bCs/>
        </w:rPr>
        <w:t>Bonos de Transición Energética:</w:t>
      </w:r>
      <w:r w:rsidRPr="006E2130">
        <w:rPr>
          <w:rFonts w:ascii="Times New Roman" w:hAnsi="Times New Roman" w:cs="Times New Roman"/>
        </w:rPr>
        <w:t xml:space="preserve"> deducción y transferencia para proyectos FNCE.</w:t>
      </w:r>
    </w:p>
    <w:p w14:paraId="7F8F31E1" w14:textId="77777777" w:rsidR="001E2DA8" w:rsidRPr="00874E1B" w:rsidRDefault="001E2DA8" w:rsidP="001E2DA8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6E2130">
        <w:rPr>
          <w:rFonts w:ascii="Times New Roman" w:hAnsi="Times New Roman" w:cs="Times New Roman"/>
          <w:b/>
          <w:bCs/>
        </w:rPr>
        <w:t>Fortalecimiento del rol técnico de la UPME</w:t>
      </w:r>
      <w:r w:rsidRPr="006E2130">
        <w:rPr>
          <w:rFonts w:ascii="Times New Roman" w:hAnsi="Times New Roman" w:cs="Times New Roman"/>
        </w:rPr>
        <w:t xml:space="preserve"> y de la confianza inversionista.</w:t>
      </w:r>
    </w:p>
    <w:p w14:paraId="7144FB0F" w14:textId="77777777" w:rsidR="001E2DA8" w:rsidRPr="00874E1B" w:rsidRDefault="001E2DA8" w:rsidP="001E2DA8">
      <w:pPr>
        <w:jc w:val="both"/>
        <w:rPr>
          <w:rFonts w:ascii="Times New Roman" w:hAnsi="Times New Roman" w:cs="Times New Roman"/>
        </w:rPr>
      </w:pPr>
    </w:p>
    <w:p w14:paraId="52CA0247" w14:textId="34DD1A7E" w:rsidR="001E2DA8" w:rsidRPr="00874E1B" w:rsidRDefault="001E2DA8" w:rsidP="001E2DA8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874E1B">
        <w:rPr>
          <w:rFonts w:ascii="Times New Roman" w:hAnsi="Times New Roman" w:cs="Times New Roman"/>
          <w:b/>
          <w:bCs/>
        </w:rPr>
        <w:t xml:space="preserve">Fondo empresarial </w:t>
      </w:r>
    </w:p>
    <w:p w14:paraId="5C7BA6F0" w14:textId="77777777" w:rsidR="001E2DA8" w:rsidRPr="00874E1B" w:rsidRDefault="001E2DA8" w:rsidP="001E2DA8">
      <w:pPr>
        <w:jc w:val="both"/>
        <w:rPr>
          <w:rFonts w:ascii="Times New Roman" w:hAnsi="Times New Roman" w:cs="Times New Roman"/>
        </w:rPr>
      </w:pPr>
    </w:p>
    <w:p w14:paraId="21728FD9" w14:textId="77777777" w:rsidR="001E2DA8" w:rsidRPr="00874E1B" w:rsidRDefault="001E2DA8" w:rsidP="001E2DA8">
      <w:pPr>
        <w:rPr>
          <w:rFonts w:ascii="Times New Roman" w:hAnsi="Times New Roman" w:cs="Times New Roman"/>
          <w:b/>
          <w:bCs/>
          <w:lang w:val="es-ES"/>
        </w:rPr>
      </w:pPr>
      <w:r w:rsidRPr="00874E1B">
        <w:rPr>
          <w:rFonts w:ascii="Times New Roman" w:hAnsi="Times New Roman" w:cs="Times New Roman"/>
          <w:b/>
          <w:bCs/>
          <w:lang w:val="es-ES"/>
        </w:rPr>
        <w:t>¿Qué propone la ley de financiamiento?</w:t>
      </w:r>
    </w:p>
    <w:p w14:paraId="701D5B5C" w14:textId="77777777" w:rsidR="001E2DA8" w:rsidRPr="00874E1B" w:rsidRDefault="001E2DA8" w:rsidP="001E2DA8">
      <w:pPr>
        <w:jc w:val="both"/>
        <w:rPr>
          <w:rFonts w:ascii="Times New Roman" w:hAnsi="Times New Roman" w:cs="Times New Roman"/>
          <w:lang w:val="es-ES"/>
        </w:rPr>
      </w:pPr>
    </w:p>
    <w:p w14:paraId="3428406E" w14:textId="37CBDD75" w:rsidR="001E2DA8" w:rsidRPr="00874E1B" w:rsidRDefault="001E2DA8" w:rsidP="001E2DA8">
      <w:pPr>
        <w:pStyle w:val="Prrafodelista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874E1B">
        <w:rPr>
          <w:rFonts w:ascii="Times New Roman" w:hAnsi="Times New Roman" w:cs="Times New Roman"/>
          <w:b/>
          <w:bCs/>
        </w:rPr>
        <w:t>Fuente estable de recursos:</w:t>
      </w:r>
      <w:r w:rsidRPr="00874E1B">
        <w:rPr>
          <w:rFonts w:ascii="Times New Roman" w:hAnsi="Times New Roman" w:cs="Times New Roman"/>
        </w:rPr>
        <w:t xml:space="preserve"> se crea destinación del 0,5% de la contribución de vigilancia de Superservicios exclusivamente al Fondo Empresarial para cubrir gastos de intervenciones y asegurar continuidad/calidad del servicio; recursos adicionales a las demás fuentes legales.    </w:t>
      </w:r>
    </w:p>
    <w:p w14:paraId="073C8B2A" w14:textId="77777777" w:rsidR="001E2DA8" w:rsidRPr="00874E1B" w:rsidRDefault="001E2DA8" w:rsidP="001E2DA8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6E2130">
        <w:rPr>
          <w:rFonts w:ascii="Times New Roman" w:hAnsi="Times New Roman" w:cs="Times New Roman"/>
          <w:b/>
          <w:bCs/>
        </w:rPr>
        <w:t>Impacto sectorial:</w:t>
      </w:r>
      <w:r w:rsidRPr="006E2130">
        <w:rPr>
          <w:rFonts w:ascii="Times New Roman" w:hAnsi="Times New Roman" w:cs="Times New Roman"/>
        </w:rPr>
        <w:t xml:space="preserve"> fortalece la capacidad de respuesta ante prestadores en riesgo (energía/aseo/acueducto), reduce el costo fiscal de rescates y da señal de estabilidad a usuarios y mercado.</w:t>
      </w:r>
    </w:p>
    <w:p w14:paraId="70470468" w14:textId="77777777" w:rsidR="001E2DA8" w:rsidRPr="00874E1B" w:rsidRDefault="001E2DA8" w:rsidP="001E2DA8">
      <w:pPr>
        <w:jc w:val="both"/>
        <w:rPr>
          <w:rFonts w:ascii="Times New Roman" w:hAnsi="Times New Roman" w:cs="Times New Roman"/>
        </w:rPr>
      </w:pPr>
    </w:p>
    <w:p w14:paraId="23EB89FD" w14:textId="77777777" w:rsidR="001E2DA8" w:rsidRPr="00874E1B" w:rsidRDefault="001E2DA8" w:rsidP="001E2DA8">
      <w:pPr>
        <w:rPr>
          <w:rFonts w:ascii="Times New Roman" w:hAnsi="Times New Roman" w:cs="Times New Roman"/>
          <w:b/>
          <w:bCs/>
          <w:lang w:val="es-ES"/>
        </w:rPr>
      </w:pPr>
      <w:r w:rsidRPr="00874E1B">
        <w:rPr>
          <w:rFonts w:ascii="Times New Roman" w:hAnsi="Times New Roman" w:cs="Times New Roman"/>
          <w:b/>
          <w:bCs/>
          <w:lang w:val="es-ES"/>
        </w:rPr>
        <w:t>Sugerencia Bullets para el señor Ministro:</w:t>
      </w:r>
    </w:p>
    <w:p w14:paraId="6F217309" w14:textId="77777777" w:rsidR="001E2DA8" w:rsidRPr="00874E1B" w:rsidRDefault="001E2DA8" w:rsidP="001E2DA8">
      <w:pPr>
        <w:jc w:val="both"/>
        <w:rPr>
          <w:rFonts w:ascii="Times New Roman" w:hAnsi="Times New Roman" w:cs="Times New Roman"/>
          <w:lang w:val="es-ES"/>
        </w:rPr>
      </w:pPr>
    </w:p>
    <w:p w14:paraId="5176B713" w14:textId="77777777" w:rsidR="001E2DA8" w:rsidRPr="00874E1B" w:rsidRDefault="001E2DA8" w:rsidP="001E2DA8">
      <w:pPr>
        <w:pStyle w:val="Prrafodelista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874E1B">
        <w:rPr>
          <w:rFonts w:ascii="Times New Roman" w:hAnsi="Times New Roman" w:cs="Times New Roman"/>
          <w:b/>
          <w:bCs/>
        </w:rPr>
        <w:t>Fortalecer el Fondo Empresarial</w:t>
      </w:r>
      <w:r w:rsidRPr="00874E1B">
        <w:rPr>
          <w:rFonts w:ascii="Times New Roman" w:hAnsi="Times New Roman" w:cs="Times New Roman"/>
        </w:rPr>
        <w:t xml:space="preserve"> de la Superservicios es blindar a los usuarios y a los alcaldes frente a crisis de prestadores. </w:t>
      </w:r>
    </w:p>
    <w:p w14:paraId="46187AB5" w14:textId="0A4E409A" w:rsidR="001E2DA8" w:rsidRPr="00874E1B" w:rsidRDefault="001E2DA8" w:rsidP="001E2DA8">
      <w:pPr>
        <w:pStyle w:val="Prrafodelista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874E1B">
        <w:rPr>
          <w:rFonts w:ascii="Times New Roman" w:hAnsi="Times New Roman" w:cs="Times New Roman"/>
        </w:rPr>
        <w:t xml:space="preserve">La destinación específica de recursos da capacidad real de respuesta sin improvisaciones presupuestales. </w:t>
      </w:r>
      <w:r w:rsidRPr="00874E1B">
        <w:rPr>
          <w:rFonts w:ascii="Times New Roman" w:hAnsi="Times New Roman" w:cs="Times New Roman"/>
          <w:b/>
          <w:bCs/>
        </w:rPr>
        <w:t>No hay transición energética posible si los servicios básicos tambalean</w:t>
      </w:r>
      <w:r w:rsidR="00874E1B" w:rsidRPr="00874E1B">
        <w:rPr>
          <w:rFonts w:ascii="Times New Roman" w:hAnsi="Times New Roman" w:cs="Times New Roman"/>
          <w:b/>
          <w:bCs/>
        </w:rPr>
        <w:t>.</w:t>
      </w:r>
    </w:p>
    <w:sectPr w:rsidR="001E2DA8" w:rsidRPr="00874E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52214A" w14:textId="77777777" w:rsidR="00307AFD" w:rsidRDefault="00307AFD" w:rsidP="00874E1B">
      <w:r>
        <w:separator/>
      </w:r>
    </w:p>
  </w:endnote>
  <w:endnote w:type="continuationSeparator" w:id="0">
    <w:p w14:paraId="0EDB6BD8" w14:textId="77777777" w:rsidR="00307AFD" w:rsidRDefault="00307AFD" w:rsidP="00874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Nmerodepgina"/>
      </w:rPr>
      <w:id w:val="1910034162"/>
      <w:docPartObj>
        <w:docPartGallery w:val="Page Numbers (Bottom of Page)"/>
        <w:docPartUnique/>
      </w:docPartObj>
    </w:sdtPr>
    <w:sdtContent>
      <w:p w14:paraId="1BBCABD9" w14:textId="5A92BCB4" w:rsidR="00874E1B" w:rsidRDefault="00874E1B" w:rsidP="00EC1F4A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6147D4D4" w14:textId="77777777" w:rsidR="00874E1B" w:rsidRDefault="00874E1B" w:rsidP="00874E1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Nmerodepgina"/>
      </w:rPr>
      <w:id w:val="1883906233"/>
      <w:docPartObj>
        <w:docPartGallery w:val="Page Numbers (Bottom of Page)"/>
        <w:docPartUnique/>
      </w:docPartObj>
    </w:sdtPr>
    <w:sdtContent>
      <w:p w14:paraId="362906F5" w14:textId="6192AEEB" w:rsidR="00874E1B" w:rsidRDefault="00874E1B" w:rsidP="00EC1F4A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1</w:t>
        </w:r>
        <w:r>
          <w:rPr>
            <w:rStyle w:val="Nmerodepgina"/>
          </w:rPr>
          <w:fldChar w:fldCharType="end"/>
        </w:r>
      </w:p>
    </w:sdtContent>
  </w:sdt>
  <w:p w14:paraId="0CF88C3F" w14:textId="2EB7ECEA" w:rsidR="00874E1B" w:rsidRDefault="00874E1B" w:rsidP="00874E1B">
    <w:pPr>
      <w:pStyle w:val="Piedepgina"/>
      <w:ind w:right="360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108A7AB" wp14:editId="2C477C75">
          <wp:simplePos x="0" y="0"/>
          <wp:positionH relativeFrom="margin">
            <wp:posOffset>-818147</wp:posOffset>
          </wp:positionH>
          <wp:positionV relativeFrom="paragraph">
            <wp:posOffset>-288758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2162C" w14:textId="77777777" w:rsidR="00874E1B" w:rsidRDefault="00874E1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E9AA9F" w14:textId="77777777" w:rsidR="00307AFD" w:rsidRDefault="00307AFD" w:rsidP="00874E1B">
      <w:r>
        <w:separator/>
      </w:r>
    </w:p>
  </w:footnote>
  <w:footnote w:type="continuationSeparator" w:id="0">
    <w:p w14:paraId="70B9E31B" w14:textId="77777777" w:rsidR="00307AFD" w:rsidRDefault="00307AFD" w:rsidP="00874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ADF10" w14:textId="0B04632C" w:rsidR="00874E1B" w:rsidRDefault="00307AFD">
    <w:pPr>
      <w:pStyle w:val="Encabezado"/>
    </w:pPr>
    <w:r>
      <w:rPr>
        <w:noProof/>
      </w:rPr>
      <w:pict w14:anchorId="425D442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6905440" o:spid="_x0000_s1027" type="#_x0000_t136" alt="" style="position:absolute;margin-left:0;margin-top:0;width:522.65pt;height:100.2pt;rotation:315;z-index:-25164697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Calibri&quot;;font-size:1pt" string="CONFIDENCI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23525" w14:textId="399B400D" w:rsidR="00874E1B" w:rsidRDefault="00307AFD">
    <w:pPr>
      <w:pStyle w:val="Encabezado"/>
    </w:pPr>
    <w:r>
      <w:rPr>
        <w:noProof/>
      </w:rPr>
      <w:pict w14:anchorId="13F4FC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6905441" o:spid="_x0000_s1026" type="#_x0000_t136" alt="" style="position:absolute;margin-left:0;margin-top:0;width:522.65pt;height:100.2pt;rotation:315;z-index:-25164288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Calibri&quot;;font-size:1pt" string="CONFIDENCIAL"/>
          <w10:wrap anchorx="margin" anchory="margin"/>
        </v:shape>
      </w:pict>
    </w:r>
    <w:r w:rsidR="00874E1B" w:rsidRPr="005617AA">
      <w:rPr>
        <w:noProof/>
      </w:rPr>
      <w:drawing>
        <wp:anchor distT="0" distB="0" distL="114300" distR="114300" simplePos="0" relativeHeight="251659264" behindDoc="0" locked="0" layoutInCell="1" allowOverlap="1" wp14:anchorId="206D8A81" wp14:editId="000F69BA">
          <wp:simplePos x="0" y="0"/>
          <wp:positionH relativeFrom="margin">
            <wp:posOffset>2290813</wp:posOffset>
          </wp:positionH>
          <wp:positionV relativeFrom="paragraph">
            <wp:posOffset>-299018</wp:posOffset>
          </wp:positionV>
          <wp:extent cx="675005" cy="587375"/>
          <wp:effectExtent l="0" t="0" r="0" b="3175"/>
          <wp:wrapSquare wrapText="bothSides"/>
          <wp:docPr id="10403802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5" cy="587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4E5E3" w14:textId="2AB08E2E" w:rsidR="00874E1B" w:rsidRDefault="00307AFD">
    <w:pPr>
      <w:pStyle w:val="Encabezado"/>
    </w:pPr>
    <w:r>
      <w:rPr>
        <w:noProof/>
      </w:rPr>
      <w:pict w14:anchorId="524B51E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6905439" o:spid="_x0000_s1025" type="#_x0000_t136" alt="" style="position:absolute;margin-left:0;margin-top:0;width:522.65pt;height:100.2pt;rotation:315;z-index:-25165107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Calibri&quot;;font-size:1pt" string="CONFIDENCI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15E14"/>
    <w:multiLevelType w:val="hybridMultilevel"/>
    <w:tmpl w:val="0330C956"/>
    <w:lvl w:ilvl="0" w:tplc="1DE8C1C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459F8"/>
    <w:multiLevelType w:val="multilevel"/>
    <w:tmpl w:val="6C42A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563AB2"/>
    <w:multiLevelType w:val="multilevel"/>
    <w:tmpl w:val="636239A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  <w:sz w:val="24"/>
        <w:szCs w:val="3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7F3C71"/>
    <w:multiLevelType w:val="multilevel"/>
    <w:tmpl w:val="9D7C1E1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  <w:sz w:val="24"/>
        <w:szCs w:val="3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137441"/>
    <w:multiLevelType w:val="multilevel"/>
    <w:tmpl w:val="5118844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  <w:sz w:val="22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CD6D8A"/>
    <w:multiLevelType w:val="hybridMultilevel"/>
    <w:tmpl w:val="A066007C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B118F"/>
    <w:multiLevelType w:val="hybridMultilevel"/>
    <w:tmpl w:val="C26E8EE4"/>
    <w:lvl w:ilvl="0" w:tplc="1DE8C1C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D92D63"/>
    <w:multiLevelType w:val="multilevel"/>
    <w:tmpl w:val="E9C00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F3F0B4E"/>
    <w:multiLevelType w:val="hybridMultilevel"/>
    <w:tmpl w:val="C7348F06"/>
    <w:lvl w:ilvl="0" w:tplc="1DE8C1C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FB1E7C"/>
    <w:multiLevelType w:val="hybridMultilevel"/>
    <w:tmpl w:val="BB2AB3B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910450">
    <w:abstractNumId w:val="9"/>
  </w:num>
  <w:num w:numId="2" w16cid:durableId="1861970929">
    <w:abstractNumId w:val="5"/>
  </w:num>
  <w:num w:numId="3" w16cid:durableId="798032589">
    <w:abstractNumId w:val="4"/>
  </w:num>
  <w:num w:numId="4" w16cid:durableId="518349143">
    <w:abstractNumId w:val="0"/>
  </w:num>
  <w:num w:numId="5" w16cid:durableId="1995791851">
    <w:abstractNumId w:val="7"/>
  </w:num>
  <w:num w:numId="6" w16cid:durableId="16926654">
    <w:abstractNumId w:val="2"/>
  </w:num>
  <w:num w:numId="7" w16cid:durableId="736977088">
    <w:abstractNumId w:val="8"/>
  </w:num>
  <w:num w:numId="8" w16cid:durableId="1445732202">
    <w:abstractNumId w:val="1"/>
  </w:num>
  <w:num w:numId="9" w16cid:durableId="138234126">
    <w:abstractNumId w:val="3"/>
  </w:num>
  <w:num w:numId="10" w16cid:durableId="4425025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6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DA8"/>
    <w:rsid w:val="00012FC0"/>
    <w:rsid w:val="001E1DE1"/>
    <w:rsid w:val="001E2DA8"/>
    <w:rsid w:val="001F3BCC"/>
    <w:rsid w:val="002A20DD"/>
    <w:rsid w:val="00307AFD"/>
    <w:rsid w:val="003275D0"/>
    <w:rsid w:val="003375F7"/>
    <w:rsid w:val="003415C0"/>
    <w:rsid w:val="003F0E44"/>
    <w:rsid w:val="003F7F78"/>
    <w:rsid w:val="00422787"/>
    <w:rsid w:val="004B3FEC"/>
    <w:rsid w:val="004D4FFC"/>
    <w:rsid w:val="004F416E"/>
    <w:rsid w:val="00510B43"/>
    <w:rsid w:val="00546A3D"/>
    <w:rsid w:val="006335D3"/>
    <w:rsid w:val="00874E1B"/>
    <w:rsid w:val="00935D85"/>
    <w:rsid w:val="009D5287"/>
    <w:rsid w:val="00C43F4B"/>
    <w:rsid w:val="00C57A5E"/>
    <w:rsid w:val="00CB2FA1"/>
    <w:rsid w:val="00DD1ED5"/>
    <w:rsid w:val="00FA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8885EF"/>
  <w15:chartTrackingRefBased/>
  <w15:docId w15:val="{4695C2D4-C74A-C243-8423-16A51A165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E2D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E2D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E2D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E2D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E2D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E2DA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E2DA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E2DA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E2DA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E2D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E2D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E2D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E2DA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E2DA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E2DA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E2DA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E2DA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E2DA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E2D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E2D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E2DA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E2D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E2D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E2DA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E2DA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E2DA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E2D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E2DA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E2DA8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874E1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74E1B"/>
  </w:style>
  <w:style w:type="character" w:styleId="Nmerodepgina">
    <w:name w:val="page number"/>
    <w:basedOn w:val="Fuentedeprrafopredeter"/>
    <w:uiPriority w:val="99"/>
    <w:semiHidden/>
    <w:unhideWhenUsed/>
    <w:rsid w:val="00874E1B"/>
  </w:style>
  <w:style w:type="paragraph" w:styleId="Encabezado">
    <w:name w:val="header"/>
    <w:basedOn w:val="Normal"/>
    <w:link w:val="EncabezadoCar"/>
    <w:uiPriority w:val="99"/>
    <w:unhideWhenUsed/>
    <w:rsid w:val="00874E1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74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DFAC1B0-49BC-D144-8798-F7BB79ACE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538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dcterms:created xsi:type="dcterms:W3CDTF">2025-10-18T15:18:00Z</dcterms:created>
  <dcterms:modified xsi:type="dcterms:W3CDTF">2026-03-25T00:32:00Z</dcterms:modified>
</cp:coreProperties>
</file>